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7C0F0" w14:textId="77777777" w:rsidR="001D1412" w:rsidRDefault="001D1412">
      <w:pPr>
        <w:sectPr w:rsidR="001D1412">
          <w:headerReference w:type="even" r:id="rId6"/>
          <w:headerReference w:type="default" r:id="rId7"/>
          <w:footerReference w:type="even" r:id="rId8"/>
          <w:footerReference w:type="default" r:id="rId9"/>
          <w:headerReference w:type="first" r:id="rId10"/>
          <w:footerReference w:type="first" r:id="rId11"/>
          <w:pgSz w:w="12240" w:h="15840"/>
          <w:pgMar w:top="840" w:right="1000" w:bottom="840" w:left="1000" w:header="400" w:footer="400" w:gutter="0"/>
          <w:cols w:space="720"/>
          <w:titlePg/>
        </w:sectPr>
      </w:pPr>
      <w:bookmarkStart w:id="0" w:name="_GoBack"/>
      <w:bookmarkEnd w:id="0"/>
    </w:p>
    <w:p w14:paraId="3711B8BD" w14:textId="77777777" w:rsidR="001D1412" w:rsidRDefault="001D1412">
      <w:bookmarkStart w:id="1" w:name="Bookmark_1"/>
      <w:bookmarkEnd w:id="1"/>
    </w:p>
    <w:p w14:paraId="3DE906BF" w14:textId="77777777" w:rsidR="001D1412" w:rsidRDefault="00EF3A54">
      <w:pPr>
        <w:spacing w:before="240" w:after="200" w:line="340" w:lineRule="atLeast"/>
        <w:jc w:val="center"/>
        <w:outlineLvl w:val="0"/>
        <w:rPr>
          <w:rFonts w:ascii="Arial" w:hAnsi="Arial" w:cs="Arial"/>
          <w:b/>
          <w:bCs/>
          <w:kern w:val="32"/>
          <w:sz w:val="32"/>
          <w:szCs w:val="32"/>
        </w:rPr>
      </w:pPr>
      <w:hyperlink r:id="rId12" w:history="1">
        <w:r>
          <w:rPr>
            <w:rFonts w:ascii="Arial" w:eastAsia="Arial" w:hAnsi="Arial" w:cs="Arial"/>
            <w:b/>
            <w:bCs/>
            <w:i/>
            <w:color w:val="0077CC"/>
            <w:kern w:val="32"/>
            <w:sz w:val="28"/>
            <w:szCs w:val="32"/>
            <w:u w:val="single"/>
          </w:rPr>
          <w:t>1996 OLC LEXIS 64</w:t>
        </w:r>
      </w:hyperlink>
    </w:p>
    <w:p w14:paraId="2FB4B04B" w14:textId="77777777" w:rsidR="001D1412" w:rsidRDefault="00EF3A54">
      <w:pPr>
        <w:spacing w:before="120" w:line="260" w:lineRule="atLeast"/>
        <w:jc w:val="center"/>
      </w:pPr>
      <w:r>
        <w:rPr>
          <w:rFonts w:ascii="Arial" w:eastAsia="Arial" w:hAnsi="Arial" w:cs="Arial"/>
          <w:color w:val="000000"/>
          <w:sz w:val="20"/>
        </w:rPr>
        <w:t>Opinion of the Office of Legal Counsel</w:t>
      </w:r>
    </w:p>
    <w:p w14:paraId="41DBFE18" w14:textId="77777777" w:rsidR="001D1412" w:rsidRDefault="00EF3A54">
      <w:pPr>
        <w:spacing w:before="120" w:line="260" w:lineRule="atLeast"/>
        <w:jc w:val="center"/>
      </w:pPr>
      <w:r>
        <w:rPr>
          <w:rFonts w:ascii="Arial" w:eastAsia="Arial" w:hAnsi="Arial" w:cs="Arial"/>
          <w:color w:val="000000"/>
          <w:sz w:val="20"/>
        </w:rPr>
        <w:t>September 3, 1996</w:t>
      </w:r>
    </w:p>
    <w:p w14:paraId="2FAFB82F" w14:textId="77777777" w:rsidR="001D1412" w:rsidRDefault="00EF3A54">
      <w:pPr>
        <w:spacing w:before="120" w:line="260" w:lineRule="atLeast"/>
        <w:jc w:val="center"/>
      </w:pPr>
      <w:r>
        <w:rPr>
          <w:rFonts w:ascii="Arial" w:eastAsia="Arial" w:hAnsi="Arial" w:cs="Arial"/>
          <w:color w:val="000000"/>
          <w:sz w:val="20"/>
        </w:rPr>
        <w:t>20 Op. O.L.C. 308</w:t>
      </w:r>
    </w:p>
    <w:p w14:paraId="0339B846" w14:textId="77777777" w:rsidR="001D1412" w:rsidRDefault="001D1412">
      <w:pPr>
        <w:spacing w:line="240" w:lineRule="atLeast"/>
        <w:jc w:val="both"/>
      </w:pPr>
    </w:p>
    <w:p w14:paraId="585EF6B2" w14:textId="77777777" w:rsidR="001D1412" w:rsidRDefault="00EF3A54">
      <w:pPr>
        <w:spacing w:before="200" w:line="240" w:lineRule="atLeast"/>
      </w:pPr>
      <w:r>
        <w:rPr>
          <w:rFonts w:ascii="Arial" w:eastAsia="Arial" w:hAnsi="Arial" w:cs="Arial"/>
          <w:b/>
          <w:color w:val="000000"/>
          <w:sz w:val="18"/>
        </w:rPr>
        <w:t>Reporter</w:t>
      </w:r>
    </w:p>
    <w:p w14:paraId="4E2AFD62" w14:textId="77777777" w:rsidR="001D1412" w:rsidRDefault="00EF3A54">
      <w:pPr>
        <w:spacing w:line="240" w:lineRule="atLeast"/>
      </w:pPr>
      <w:r>
        <w:rPr>
          <w:rFonts w:ascii="Arial" w:eastAsia="Arial" w:hAnsi="Arial" w:cs="Arial"/>
          <w:color w:val="000000"/>
          <w:sz w:val="18"/>
        </w:rPr>
        <w:t xml:space="preserve">20 Op. </w:t>
      </w:r>
      <w:r>
        <w:rPr>
          <w:rFonts w:ascii="Arial" w:eastAsia="Arial" w:hAnsi="Arial" w:cs="Arial"/>
          <w:color w:val="000000"/>
          <w:sz w:val="18"/>
        </w:rPr>
        <w:t>O.L.C. 308 *; 1996 OLC LEXIS 64 **</w:t>
      </w:r>
    </w:p>
    <w:p w14:paraId="6247669A" w14:textId="77777777" w:rsidR="001D1412" w:rsidRDefault="00EF3A54">
      <w:pPr>
        <w:keepNext/>
        <w:spacing w:before="240" w:line="340" w:lineRule="atLeast"/>
      </w:pPr>
      <w:bookmarkStart w:id="2" w:name="Issue"/>
      <w:bookmarkEnd w:id="2"/>
      <w:r>
        <w:rPr>
          <w:rFonts w:ascii="Arial" w:eastAsia="Arial" w:hAnsi="Arial" w:cs="Arial"/>
          <w:b/>
          <w:color w:val="000000"/>
          <w:sz w:val="28"/>
        </w:rPr>
        <w:t>Issue</w:t>
      </w:r>
    </w:p>
    <w:p w14:paraId="6837FF27" w14:textId="77777777" w:rsidR="001D1412" w:rsidRDefault="00EF3A54">
      <w:pPr>
        <w:spacing w:line="60" w:lineRule="exact"/>
      </w:pPr>
      <w:r>
        <w:pict w14:anchorId="0381F1AB">
          <v:line id="_x0000_s1026" style="position:absolute;z-index:251658240" from="0,2pt" to="512pt,2pt" strokecolor="#009ddb" strokeweight="2pt">
            <w10:wrap type="topAndBottom"/>
          </v:line>
        </w:pict>
      </w:r>
    </w:p>
    <w:p w14:paraId="474479DF" w14:textId="77777777" w:rsidR="001D1412" w:rsidRDefault="001D1412"/>
    <w:p w14:paraId="29043FC6" w14:textId="77777777" w:rsidR="001D1412" w:rsidRDefault="00EF3A54">
      <w:pPr>
        <w:spacing w:before="200" w:line="260" w:lineRule="atLeast"/>
        <w:jc w:val="both"/>
      </w:pPr>
      <w:r>
        <w:rPr>
          <w:rFonts w:ascii="Arial" w:eastAsia="Arial" w:hAnsi="Arial" w:cs="Arial"/>
          <w:b/>
          <w:color w:val="000000"/>
          <w:sz w:val="20"/>
        </w:rPr>
        <w:t>Immunity of the Counsel to the President from Compelled  Congressional Testimony</w:t>
      </w:r>
    </w:p>
    <w:p w14:paraId="230F47A7" w14:textId="77777777" w:rsidR="001D1412" w:rsidRDefault="00EF3A54">
      <w:pPr>
        <w:spacing w:before="120" w:line="260" w:lineRule="atLeast"/>
      </w:pPr>
      <w:r>
        <w:rPr>
          <w:rFonts w:ascii="Arial" w:eastAsia="Arial" w:hAnsi="Arial" w:cs="Arial"/>
          <w:color w:val="000000"/>
          <w:sz w:val="20"/>
        </w:rPr>
        <w:t>LETTER OPINION FOR THE COUNSEL TO THE PRESIDENT</w:t>
      </w:r>
    </w:p>
    <w:p w14:paraId="1C3C9867" w14:textId="77777777" w:rsidR="001D1412" w:rsidRDefault="00EF3A54">
      <w:pPr>
        <w:keepNext/>
        <w:spacing w:before="240" w:line="340" w:lineRule="atLeast"/>
      </w:pPr>
      <w:bookmarkStart w:id="3" w:name="Core_Terms"/>
      <w:bookmarkEnd w:id="3"/>
      <w:r>
        <w:rPr>
          <w:rFonts w:ascii="Arial" w:eastAsia="Arial" w:hAnsi="Arial" w:cs="Arial"/>
          <w:b/>
          <w:color w:val="000000"/>
          <w:sz w:val="28"/>
        </w:rPr>
        <w:t>Core Terms</w:t>
      </w:r>
    </w:p>
    <w:p w14:paraId="5BAF6CE0" w14:textId="77777777" w:rsidR="001D1412" w:rsidRDefault="00EF3A54">
      <w:pPr>
        <w:spacing w:line="60" w:lineRule="exact"/>
      </w:pPr>
      <w:r>
        <w:pict w14:anchorId="2B20E193">
          <v:line id="_x0000_s1027" style="position:absolute;z-index:251659264" from="0,2pt" to="512pt,2pt" strokecolor="#009ddb" strokeweight="2pt">
            <w10:wrap type="topAndBottom"/>
          </v:line>
        </w:pict>
      </w:r>
    </w:p>
    <w:p w14:paraId="73F0B5D2" w14:textId="77777777" w:rsidR="001D1412" w:rsidRDefault="00EF3A54">
      <w:pPr>
        <w:spacing w:before="240" w:line="260" w:lineRule="atLeast"/>
      </w:pPr>
      <w:r>
        <w:rPr>
          <w:rFonts w:ascii="Arial" w:eastAsia="Arial" w:hAnsi="Arial" w:cs="Arial"/>
          <w:color w:val="000000"/>
          <w:sz w:val="20"/>
        </w:rPr>
        <w:t xml:space="preserve">congressional committee, executive privilege, memorandum, </w:t>
      </w:r>
      <w:r>
        <w:rPr>
          <w:rFonts w:ascii="Arial" w:eastAsia="Arial" w:hAnsi="Arial" w:cs="Arial"/>
          <w:color w:val="000000"/>
          <w:sz w:val="20"/>
        </w:rPr>
        <w:t>testimonial compulsion, subpoena, staff, separation of powers, absolute immunity, sworn testimony, official duty, adviser</w:t>
      </w:r>
    </w:p>
    <w:p w14:paraId="747C416E" w14:textId="77777777" w:rsidR="001D1412" w:rsidRDefault="00EF3A54">
      <w:pPr>
        <w:keepNext/>
        <w:spacing w:before="240" w:line="340" w:lineRule="atLeast"/>
      </w:pPr>
      <w:r>
        <w:br/>
      </w:r>
      <w:r>
        <w:rPr>
          <w:rFonts w:ascii="Arial" w:eastAsia="Arial" w:hAnsi="Arial" w:cs="Arial"/>
          <w:b/>
          <w:color w:val="000000"/>
          <w:sz w:val="28"/>
        </w:rPr>
        <w:t>Headnotes</w:t>
      </w:r>
    </w:p>
    <w:p w14:paraId="5DE71ACF" w14:textId="77777777" w:rsidR="001D1412" w:rsidRDefault="00EF3A54">
      <w:pPr>
        <w:spacing w:line="60" w:lineRule="exact"/>
      </w:pPr>
      <w:r>
        <w:pict w14:anchorId="277A7D93">
          <v:line id="_x0000_s1028" style="position:absolute;z-index:251660288" from="0,2pt" to="512pt,2pt" strokecolor="#009ddb" strokeweight="2pt">
            <w10:wrap type="topAndBottom"/>
          </v:line>
        </w:pict>
      </w:r>
    </w:p>
    <w:p w14:paraId="05FC6F2A" w14:textId="77777777" w:rsidR="001D1412" w:rsidRDefault="001D1412"/>
    <w:p w14:paraId="40414A51" w14:textId="77777777" w:rsidR="001D1412" w:rsidRDefault="00EF3A54">
      <w:pPr>
        <w:spacing w:line="260" w:lineRule="atLeast"/>
      </w:pPr>
      <w:r>
        <w:rPr>
          <w:rFonts w:ascii="Arial" w:eastAsia="Arial" w:hAnsi="Arial" w:cs="Arial"/>
          <w:b/>
          <w:color w:val="000000"/>
          <w:sz w:val="20"/>
        </w:rPr>
        <w:t> [**1] </w:t>
      </w:r>
    </w:p>
    <w:p w14:paraId="23CCD7C6" w14:textId="77777777" w:rsidR="001D1412" w:rsidRDefault="00EF3A54">
      <w:pPr>
        <w:spacing w:before="200" w:line="260" w:lineRule="atLeast"/>
        <w:jc w:val="both"/>
      </w:pPr>
      <w:r>
        <w:rPr>
          <w:rFonts w:ascii="Arial" w:eastAsia="Arial" w:hAnsi="Arial" w:cs="Arial"/>
          <w:b/>
          <w:color w:val="000000"/>
          <w:sz w:val="20"/>
        </w:rPr>
        <w:t> [*308] </w:t>
      </w:r>
      <w:r>
        <w:rPr>
          <w:rFonts w:ascii="Arial" w:eastAsia="Arial" w:hAnsi="Arial" w:cs="Arial"/>
          <w:color w:val="000000"/>
          <w:sz w:val="20"/>
        </w:rPr>
        <w:t xml:space="preserve"> Executive privilege is assemble in response to a congressional subpoena  seeking the testimony of the C</w:t>
      </w:r>
      <w:r>
        <w:rPr>
          <w:rFonts w:ascii="Arial" w:eastAsia="Arial" w:hAnsi="Arial" w:cs="Arial"/>
          <w:color w:val="000000"/>
          <w:sz w:val="20"/>
        </w:rPr>
        <w:t>ounsel to the President because the Counsel serves as one of the President's immediate advisers  and is therefore immune  from compelled  congressional testimony.</w:t>
      </w:r>
    </w:p>
    <w:p w14:paraId="047E9250" w14:textId="77777777" w:rsidR="001D1412" w:rsidRDefault="00EF3A54">
      <w:pPr>
        <w:spacing w:before="240" w:line="260" w:lineRule="atLeast"/>
      </w:pPr>
      <w:r>
        <w:br/>
      </w:r>
      <w:r>
        <w:rPr>
          <w:rFonts w:ascii="Arial" w:eastAsia="Arial" w:hAnsi="Arial" w:cs="Arial"/>
          <w:b/>
          <w:color w:val="000000"/>
          <w:sz w:val="20"/>
        </w:rPr>
        <w:t>Opinion By:</w:t>
      </w:r>
      <w:r>
        <w:rPr>
          <w:rFonts w:ascii="Arial" w:eastAsia="Arial" w:hAnsi="Arial" w:cs="Arial"/>
          <w:color w:val="000000"/>
          <w:sz w:val="20"/>
        </w:rPr>
        <w:t> SCHROEDER</w:t>
      </w:r>
    </w:p>
    <w:p w14:paraId="06BFB034" w14:textId="77777777" w:rsidR="001D1412" w:rsidRDefault="00EF3A54">
      <w:pPr>
        <w:keepNext/>
        <w:spacing w:before="240" w:line="340" w:lineRule="atLeast"/>
      </w:pPr>
      <w:bookmarkStart w:id="4" w:name="Opinion"/>
      <w:bookmarkEnd w:id="4"/>
      <w:r>
        <w:rPr>
          <w:rFonts w:ascii="Arial" w:eastAsia="Arial" w:hAnsi="Arial" w:cs="Arial"/>
          <w:b/>
          <w:color w:val="000000"/>
          <w:sz w:val="28"/>
        </w:rPr>
        <w:t>Opinion</w:t>
      </w:r>
    </w:p>
    <w:p w14:paraId="02D763A8" w14:textId="77777777" w:rsidR="001D1412" w:rsidRDefault="00EF3A54">
      <w:pPr>
        <w:spacing w:line="60" w:lineRule="exact"/>
      </w:pPr>
      <w:r>
        <w:pict w14:anchorId="21303A95">
          <v:line id="_x0000_s1029" style="position:absolute;z-index:251661312" from="0,2pt" to="512pt,2pt" strokecolor="#009ddb" strokeweight="2pt">
            <w10:wrap type="topAndBottom"/>
          </v:line>
        </w:pict>
      </w:r>
    </w:p>
    <w:p w14:paraId="1C16D051" w14:textId="77777777" w:rsidR="001D1412" w:rsidRDefault="001D1412"/>
    <w:p w14:paraId="32427451" w14:textId="77777777" w:rsidR="001D1412" w:rsidRDefault="00EF3A54">
      <w:pPr>
        <w:spacing w:before="200" w:line="260" w:lineRule="atLeast"/>
        <w:jc w:val="both"/>
      </w:pPr>
      <w:r>
        <w:rPr>
          <w:rFonts w:ascii="Arial" w:eastAsia="Arial" w:hAnsi="Arial" w:cs="Arial"/>
          <w:color w:val="000000"/>
          <w:sz w:val="20"/>
        </w:rPr>
        <w:t>You have asked whether it would be consistent with preceden</w:t>
      </w:r>
      <w:r>
        <w:rPr>
          <w:rFonts w:ascii="Arial" w:eastAsia="Arial" w:hAnsi="Arial" w:cs="Arial"/>
          <w:color w:val="000000"/>
          <w:sz w:val="20"/>
        </w:rPr>
        <w:t>t and governing legal principles to assert executive privilege should a subpoena  be issued by a congressional committee to you, in your capacity as Counsel to the President, to compel your testimony at a committee hearing concerning the performance of you</w:t>
      </w:r>
      <w:r>
        <w:rPr>
          <w:rFonts w:ascii="Arial" w:eastAsia="Arial" w:hAnsi="Arial" w:cs="Arial"/>
          <w:color w:val="000000"/>
          <w:sz w:val="20"/>
        </w:rPr>
        <w:t xml:space="preserve">r official duties. We believe that executive privilege would be </w:t>
      </w:r>
      <w:proofErr w:type="spellStart"/>
      <w:r>
        <w:rPr>
          <w:rFonts w:ascii="Arial" w:eastAsia="Arial" w:hAnsi="Arial" w:cs="Arial"/>
          <w:color w:val="000000"/>
          <w:sz w:val="20"/>
        </w:rPr>
        <w:t>assertable</w:t>
      </w:r>
      <w:proofErr w:type="spellEnd"/>
      <w:r>
        <w:rPr>
          <w:rFonts w:ascii="Arial" w:eastAsia="Arial" w:hAnsi="Arial" w:cs="Arial"/>
          <w:color w:val="000000"/>
          <w:sz w:val="20"/>
        </w:rPr>
        <w:t xml:space="preserve"> on the basis that you serve as an immediate adviser  to the President and are therefore immune  from compelled  congressional testimony.</w:t>
      </w:r>
    </w:p>
    <w:p w14:paraId="3A751D72" w14:textId="77777777" w:rsidR="001D1412" w:rsidRDefault="00EF3A54">
      <w:pPr>
        <w:spacing w:before="200" w:line="260" w:lineRule="atLeast"/>
        <w:jc w:val="both"/>
      </w:pPr>
      <w:r>
        <w:rPr>
          <w:rFonts w:ascii="Arial" w:eastAsia="Arial" w:hAnsi="Arial" w:cs="Arial"/>
          <w:color w:val="000000"/>
          <w:sz w:val="20"/>
        </w:rPr>
        <w:t>It is the longstanding position of the execu</w:t>
      </w:r>
      <w:r>
        <w:rPr>
          <w:rFonts w:ascii="Arial" w:eastAsia="Arial" w:hAnsi="Arial" w:cs="Arial"/>
          <w:color w:val="000000"/>
          <w:sz w:val="20"/>
        </w:rPr>
        <w:t xml:space="preserve">tive branch that "the President and his immediate advisors  are absolutely immune  from testimonial compulsion  by a Congressional committee." </w:t>
      </w:r>
      <w:r>
        <w:rPr>
          <w:rFonts w:ascii="Arial" w:eastAsia="Arial" w:hAnsi="Arial" w:cs="Arial"/>
          <w:vertAlign w:val="superscript"/>
        </w:rPr>
        <w:footnoteReference w:customMarkFollows="1" w:id="1"/>
        <w:t>1</w:t>
      </w:r>
      <w:r>
        <w:rPr>
          <w:rFonts w:ascii="Arial" w:eastAsia="Arial" w:hAnsi="Arial" w:cs="Arial"/>
          <w:color w:val="000000"/>
          <w:sz w:val="20"/>
        </w:rPr>
        <w:t xml:space="preserve"> This position is constitutionally based:</w:t>
      </w:r>
    </w:p>
    <w:p w14:paraId="39F765F9" w14:textId="77777777" w:rsidR="001D1412" w:rsidRDefault="00EF3A54">
      <w:pPr>
        <w:spacing w:before="200" w:line="260" w:lineRule="atLeast"/>
        <w:ind w:left="400"/>
        <w:jc w:val="both"/>
      </w:pPr>
      <w:r>
        <w:rPr>
          <w:rFonts w:ascii="Arial" w:eastAsia="Arial" w:hAnsi="Arial" w:cs="Arial"/>
          <w:color w:val="000000"/>
          <w:sz w:val="20"/>
        </w:rPr>
        <w:lastRenderedPageBreak/>
        <w:t>The President is a separate branch of government. He may not compel co</w:t>
      </w:r>
      <w:r>
        <w:rPr>
          <w:rFonts w:ascii="Arial" w:eastAsia="Arial" w:hAnsi="Arial" w:cs="Arial"/>
          <w:color w:val="000000"/>
          <w:sz w:val="20"/>
        </w:rPr>
        <w:t xml:space="preserve">ngressmen to appear before him. As a matter </w:t>
      </w:r>
      <w:r>
        <w:rPr>
          <w:rFonts w:ascii="Arial" w:eastAsia="Arial" w:hAnsi="Arial" w:cs="Arial"/>
          <w:b/>
          <w:color w:val="000000"/>
          <w:sz w:val="20"/>
        </w:rPr>
        <w:t> [**2] </w:t>
      </w:r>
      <w:r>
        <w:rPr>
          <w:rFonts w:ascii="Arial" w:eastAsia="Arial" w:hAnsi="Arial" w:cs="Arial"/>
          <w:color w:val="000000"/>
          <w:sz w:val="20"/>
        </w:rPr>
        <w:t xml:space="preserve"> of separation of powers, Congress may not compel him to appear before it. The President's close advisors  are an extension of the President. </w:t>
      </w:r>
      <w:r>
        <w:rPr>
          <w:rFonts w:ascii="Arial" w:eastAsia="Arial" w:hAnsi="Arial" w:cs="Arial"/>
          <w:vertAlign w:val="superscript"/>
        </w:rPr>
        <w:footnoteReference w:customMarkFollows="1" w:id="2"/>
        <w:t>2</w:t>
      </w:r>
    </w:p>
    <w:p w14:paraId="630FC6D7" w14:textId="77777777" w:rsidR="001D1412" w:rsidRDefault="00EF3A54">
      <w:pPr>
        <w:spacing w:before="200" w:line="260" w:lineRule="atLeast"/>
        <w:jc w:val="both"/>
      </w:pPr>
      <w:r>
        <w:rPr>
          <w:rFonts w:ascii="Arial" w:eastAsia="Arial" w:hAnsi="Arial" w:cs="Arial"/>
          <w:color w:val="000000"/>
          <w:sz w:val="20"/>
        </w:rPr>
        <w:t>Accordingly, "[n]</w:t>
      </w:r>
      <w:proofErr w:type="spellStart"/>
      <w:r>
        <w:rPr>
          <w:rFonts w:ascii="Arial" w:eastAsia="Arial" w:hAnsi="Arial" w:cs="Arial"/>
          <w:color w:val="000000"/>
          <w:sz w:val="20"/>
        </w:rPr>
        <w:t>ot</w:t>
      </w:r>
      <w:proofErr w:type="spellEnd"/>
      <w:r>
        <w:rPr>
          <w:rFonts w:ascii="Arial" w:eastAsia="Arial" w:hAnsi="Arial" w:cs="Arial"/>
          <w:color w:val="000000"/>
          <w:sz w:val="20"/>
        </w:rPr>
        <w:t xml:space="preserve"> only can the President invoke executive p</w:t>
      </w:r>
      <w:r>
        <w:rPr>
          <w:rFonts w:ascii="Arial" w:eastAsia="Arial" w:hAnsi="Arial" w:cs="Arial"/>
          <w:color w:val="000000"/>
          <w:sz w:val="20"/>
        </w:rPr>
        <w:t xml:space="preserve">rivilege to protect [his personal staff] from the necessity of answering questions posed by a congressional </w:t>
      </w:r>
      <w:r>
        <w:rPr>
          <w:rFonts w:ascii="Arial" w:eastAsia="Arial" w:hAnsi="Arial" w:cs="Arial"/>
          <w:b/>
          <w:color w:val="000000"/>
          <w:sz w:val="20"/>
        </w:rPr>
        <w:t> [*309] </w:t>
      </w:r>
      <w:r>
        <w:rPr>
          <w:rFonts w:ascii="Arial" w:eastAsia="Arial" w:hAnsi="Arial" w:cs="Arial"/>
          <w:color w:val="000000"/>
          <w:sz w:val="20"/>
        </w:rPr>
        <w:t xml:space="preserve"> committee, but he can also direct them not even to appear before the committee." </w:t>
      </w:r>
      <w:r>
        <w:rPr>
          <w:rFonts w:ascii="Arial" w:eastAsia="Arial" w:hAnsi="Arial" w:cs="Arial"/>
          <w:vertAlign w:val="superscript"/>
        </w:rPr>
        <w:footnoteReference w:customMarkFollows="1" w:id="3"/>
        <w:t>3</w:t>
      </w:r>
    </w:p>
    <w:p w14:paraId="6F4C0796" w14:textId="77777777" w:rsidR="001D1412" w:rsidRDefault="00EF3A54">
      <w:pPr>
        <w:spacing w:before="200" w:line="260" w:lineRule="atLeast"/>
        <w:jc w:val="both"/>
      </w:pPr>
      <w:r>
        <w:rPr>
          <w:rFonts w:ascii="Arial" w:eastAsia="Arial" w:hAnsi="Arial" w:cs="Arial"/>
          <w:color w:val="000000"/>
          <w:sz w:val="20"/>
        </w:rPr>
        <w:t xml:space="preserve">An often-quoted statement of this position is contained </w:t>
      </w:r>
      <w:r>
        <w:rPr>
          <w:rFonts w:ascii="Arial" w:eastAsia="Arial" w:hAnsi="Arial" w:cs="Arial"/>
          <w:color w:val="000000"/>
          <w:sz w:val="20"/>
        </w:rPr>
        <w:t>in an opinion by Assistant Attorney General William Rehnquist:</w:t>
      </w:r>
    </w:p>
    <w:p w14:paraId="52CBEB65" w14:textId="77777777" w:rsidR="001D1412" w:rsidRDefault="00EF3A54">
      <w:pPr>
        <w:spacing w:before="60" w:line="260" w:lineRule="atLeast"/>
        <w:ind w:left="400"/>
        <w:jc w:val="both"/>
      </w:pPr>
      <w:r>
        <w:rPr>
          <w:rFonts w:ascii="Arial" w:eastAsia="Arial" w:hAnsi="Arial" w:cs="Arial"/>
          <w:color w:val="000000"/>
          <w:sz w:val="20"/>
        </w:rPr>
        <w:t>The President and his immediate advisers  - that is, those who customarily meet with the President on a regular or frequent basis-should be deemed absolutely immune  from testimonial compulsion  by a congressional committee. They not only may not be examin</w:t>
      </w:r>
      <w:r>
        <w:rPr>
          <w:rFonts w:ascii="Arial" w:eastAsia="Arial" w:hAnsi="Arial" w:cs="Arial"/>
          <w:color w:val="000000"/>
          <w:sz w:val="20"/>
        </w:rPr>
        <w:t xml:space="preserve">ed with respect to their official duties, but they may not even be compelled  to appear before a congressional committee. </w:t>
      </w:r>
      <w:r>
        <w:rPr>
          <w:rFonts w:ascii="Arial" w:eastAsia="Arial" w:hAnsi="Arial" w:cs="Arial"/>
          <w:vertAlign w:val="superscript"/>
        </w:rPr>
        <w:footnoteReference w:customMarkFollows="1" w:id="4"/>
        <w:t>4</w:t>
      </w:r>
    </w:p>
    <w:p w14:paraId="74125CBA" w14:textId="77777777" w:rsidR="001D1412" w:rsidRDefault="00EF3A54">
      <w:pPr>
        <w:spacing w:before="200" w:line="260" w:lineRule="atLeast"/>
        <w:jc w:val="both"/>
      </w:pPr>
      <w:r>
        <w:rPr>
          <w:rFonts w:ascii="Arial" w:eastAsia="Arial" w:hAnsi="Arial" w:cs="Arial"/>
          <w:color w:val="000000"/>
          <w:sz w:val="20"/>
        </w:rPr>
        <w:t>There is no question that the Counsel to the President falls within Assistant Attorney General Rehnquist's description of the type o</w:t>
      </w:r>
      <w:r>
        <w:rPr>
          <w:rFonts w:ascii="Arial" w:eastAsia="Arial" w:hAnsi="Arial" w:cs="Arial"/>
          <w:color w:val="000000"/>
          <w:sz w:val="20"/>
        </w:rPr>
        <w:t xml:space="preserve">f Presidential   advisers  who are immune  from testimonial   compulsion. </w:t>
      </w:r>
    </w:p>
    <w:p w14:paraId="7F7C4001" w14:textId="77777777" w:rsidR="001D1412" w:rsidRDefault="00EF3A54">
      <w:pPr>
        <w:spacing w:before="200" w:line="260" w:lineRule="atLeast"/>
        <w:jc w:val="both"/>
      </w:pPr>
      <w:r>
        <w:rPr>
          <w:rFonts w:ascii="Arial" w:eastAsia="Arial" w:hAnsi="Arial" w:cs="Arial"/>
          <w:color w:val="000000"/>
          <w:sz w:val="20"/>
        </w:rPr>
        <w:t>CHRISTOPHER H. SCHROEDER</w:t>
      </w:r>
    </w:p>
    <w:p w14:paraId="5CB0710E" w14:textId="77777777" w:rsidR="001D1412" w:rsidRDefault="00EF3A54">
      <w:pPr>
        <w:spacing w:before="200" w:line="260" w:lineRule="atLeast"/>
        <w:jc w:val="both"/>
      </w:pPr>
      <w:r>
        <w:rPr>
          <w:rFonts w:ascii="Arial" w:eastAsia="Arial" w:hAnsi="Arial" w:cs="Arial"/>
          <w:color w:val="000000"/>
          <w:sz w:val="20"/>
        </w:rPr>
        <w:t>Acting Assistant Attorney General</w:t>
      </w:r>
    </w:p>
    <w:p w14:paraId="77EE0850" w14:textId="77777777" w:rsidR="001D1412" w:rsidRDefault="00EF3A54">
      <w:pPr>
        <w:spacing w:before="200" w:line="260" w:lineRule="atLeast"/>
        <w:jc w:val="both"/>
      </w:pPr>
      <w:r>
        <w:rPr>
          <w:rFonts w:ascii="Arial" w:eastAsia="Arial" w:hAnsi="Arial" w:cs="Arial"/>
          <w:color w:val="000000"/>
          <w:sz w:val="20"/>
        </w:rPr>
        <w:t>Office of Legal Counsel</w:t>
      </w:r>
    </w:p>
    <w:p w14:paraId="01C1EA4A" w14:textId="77777777" w:rsidR="001D1412" w:rsidRDefault="00EF3A54">
      <w:pPr>
        <w:spacing w:before="240" w:line="260" w:lineRule="atLeast"/>
      </w:pPr>
      <w:r>
        <w:br/>
      </w:r>
      <w:r>
        <w:rPr>
          <w:rFonts w:ascii="Arial" w:eastAsia="Arial" w:hAnsi="Arial" w:cs="Arial"/>
          <w:b/>
          <w:color w:val="000000"/>
          <w:sz w:val="20"/>
        </w:rPr>
        <w:t>Load Date:</w:t>
      </w:r>
      <w:r>
        <w:rPr>
          <w:rFonts w:ascii="Arial" w:eastAsia="Arial" w:hAnsi="Arial" w:cs="Arial"/>
          <w:color w:val="000000"/>
          <w:sz w:val="20"/>
        </w:rPr>
        <w:t> 2013-12-16</w:t>
      </w:r>
    </w:p>
    <w:p w14:paraId="0745CADD" w14:textId="77777777" w:rsidR="001D1412" w:rsidRDefault="001D1412"/>
    <w:p w14:paraId="1B8439AF" w14:textId="77777777" w:rsidR="001D1412" w:rsidRDefault="00EF3A54">
      <w:pPr>
        <w:ind w:left="200"/>
      </w:pPr>
      <w:r>
        <w:br/>
      </w:r>
      <w:r>
        <w:pict w14:anchorId="52443939">
          <v:line id="_x0000_s1030" style="position:absolute;left:0;text-align:left;z-index:251662336;mso-position-horizontal-relative:text;mso-position-vertical-relative:text" from="0,10pt" to="512pt,10pt" strokeweight="1pt"/>
        </w:pict>
      </w:r>
      <w:r>
        <w:rPr>
          <w:b/>
          <w:color w:val="767676"/>
          <w:sz w:val="16"/>
        </w:rPr>
        <w:t>End of Document</w:t>
      </w:r>
    </w:p>
    <w:sectPr w:rsidR="001D1412">
      <w:type w:val="continuous"/>
      <w:pgSz w:w="12240" w:h="15840"/>
      <w:pgMar w:top="840" w:right="1000" w:bottom="840" w:left="1000" w:header="400" w:footer="4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5BB75" w14:textId="77777777" w:rsidR="00EF3A54" w:rsidRDefault="00EF3A54">
      <w:r>
        <w:separator/>
      </w:r>
    </w:p>
  </w:endnote>
  <w:endnote w:type="continuationSeparator" w:id="0">
    <w:p w14:paraId="01AD71A3" w14:textId="77777777" w:rsidR="00EF3A54" w:rsidRDefault="00EF3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41022" w14:textId="77777777" w:rsidR="001D1412" w:rsidRDefault="001D141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2600"/>
      <w:gridCol w:w="4880"/>
      <w:gridCol w:w="2600"/>
    </w:tblGrid>
    <w:tr w:rsidR="001D1412" w14:paraId="18BBDC84" w14:textId="77777777">
      <w:trPr>
        <w:jc w:val="center"/>
      </w:trPr>
      <w:tc>
        <w:tcPr>
          <w:tcW w:w="2600" w:type="dxa"/>
          <w:tcMar>
            <w:top w:w="200" w:type="dxa"/>
          </w:tcMar>
          <w:vAlign w:val="center"/>
        </w:tcPr>
        <w:p w14:paraId="6E9C7D14" w14:textId="77777777" w:rsidR="001D1412" w:rsidRDefault="001D1412"/>
      </w:tc>
      <w:tc>
        <w:tcPr>
          <w:tcW w:w="4880" w:type="dxa"/>
          <w:tcMar>
            <w:top w:w="200" w:type="dxa"/>
          </w:tcMar>
          <w:vAlign w:val="center"/>
        </w:tcPr>
        <w:p w14:paraId="04774C00" w14:textId="77777777" w:rsidR="001D1412" w:rsidRDefault="00EF3A54">
          <w:pPr>
            <w:jc w:val="center"/>
          </w:pPr>
          <w:r>
            <w:rPr>
              <w:rFonts w:ascii="Arial" w:eastAsia="Arial" w:hAnsi="Arial" w:cs="Arial"/>
              <w:sz w:val="20"/>
            </w:rPr>
            <w:t>Andrew Torrez</w:t>
          </w:r>
        </w:p>
      </w:tc>
      <w:tc>
        <w:tcPr>
          <w:tcW w:w="2600" w:type="dxa"/>
          <w:tcMar>
            <w:top w:w="200" w:type="dxa"/>
          </w:tcMar>
          <w:vAlign w:val="center"/>
        </w:tcPr>
        <w:p w14:paraId="6FAB467B" w14:textId="77777777" w:rsidR="001D1412" w:rsidRDefault="001D1412"/>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2453" w14:textId="77777777" w:rsidR="001D1412" w:rsidRDefault="00EF3A54">
    <w:pPr>
      <w:spacing w:before="200"/>
      <w:jc w:val="center"/>
    </w:pPr>
    <w:r>
      <w:rPr>
        <w:rFonts w:ascii="Arial" w:eastAsia="Arial" w:hAnsi="Arial" w:cs="Arial"/>
        <w:sz w:val="20"/>
      </w:rPr>
      <w:t>Andrew Torrez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C8AD3" w14:textId="77777777" w:rsidR="00EF3A54" w:rsidRDefault="00EF3A54">
      <w:r>
        <w:separator/>
      </w:r>
    </w:p>
  </w:footnote>
  <w:footnote w:type="continuationSeparator" w:id="0">
    <w:p w14:paraId="6868C9C4" w14:textId="77777777" w:rsidR="00EF3A54" w:rsidRDefault="00EF3A54">
      <w:r>
        <w:continuationSeparator/>
      </w:r>
    </w:p>
  </w:footnote>
  <w:footnote w:id="1">
    <w:p w14:paraId="739699DA" w14:textId="77777777" w:rsidR="001D1412" w:rsidRDefault="00EF3A54">
      <w:pPr>
        <w:spacing w:before="200" w:line="240" w:lineRule="atLeast"/>
        <w:jc w:val="both"/>
      </w:pPr>
      <w:r>
        <w:rPr>
          <w:rFonts w:ascii="Arial" w:eastAsia="Arial" w:hAnsi="Arial" w:cs="Arial"/>
          <w:color w:val="000000"/>
          <w:sz w:val="18"/>
          <w:vertAlign w:val="superscript"/>
        </w:rPr>
        <w:t>1 </w:t>
      </w:r>
      <w:r>
        <w:rPr>
          <w:rFonts w:ascii="Arial" w:eastAsia="Arial" w:hAnsi="Arial" w:cs="Arial"/>
          <w:color w:val="000000"/>
          <w:sz w:val="18"/>
        </w:rPr>
        <w:t xml:space="preserve"> Memorandum for all Heads of Offices, Divisions, Bureaus, and Boards of the Department of Justice, from John M. Harmon, Acting Assistant Attorney General, Office of Legal Counsel, </w:t>
      </w:r>
      <w:r>
        <w:rPr>
          <w:rFonts w:ascii="Arial" w:eastAsia="Arial" w:hAnsi="Arial" w:cs="Arial"/>
          <w:i/>
          <w:color w:val="000000"/>
          <w:sz w:val="18"/>
        </w:rPr>
        <w:t>Re: Executive Privilege</w:t>
      </w:r>
      <w:r>
        <w:rPr>
          <w:rFonts w:ascii="Arial" w:eastAsia="Arial" w:hAnsi="Arial" w:cs="Arial"/>
          <w:color w:val="000000"/>
          <w:sz w:val="18"/>
        </w:rPr>
        <w:t xml:space="preserve"> at 5 (May 23, 1977).</w:t>
      </w:r>
    </w:p>
  </w:footnote>
  <w:footnote w:id="2">
    <w:p w14:paraId="7399450A" w14:textId="77777777" w:rsidR="001D1412" w:rsidRDefault="00EF3A54">
      <w:pPr>
        <w:spacing w:before="200" w:line="240" w:lineRule="atLeast"/>
        <w:jc w:val="both"/>
      </w:pPr>
      <w:r>
        <w:rPr>
          <w:rFonts w:ascii="Arial" w:eastAsia="Arial" w:hAnsi="Arial" w:cs="Arial"/>
          <w:color w:val="000000"/>
          <w:sz w:val="18"/>
          <w:vertAlign w:val="superscript"/>
        </w:rPr>
        <w:t>2 </w:t>
      </w:r>
      <w:r>
        <w:rPr>
          <w:rFonts w:ascii="Arial" w:eastAsia="Arial" w:hAnsi="Arial" w:cs="Arial"/>
          <w:color w:val="000000"/>
          <w:sz w:val="18"/>
        </w:rPr>
        <w:t xml:space="preserve"> Memorandum for Edward C. </w:t>
      </w:r>
      <w:proofErr w:type="spellStart"/>
      <w:r>
        <w:rPr>
          <w:rFonts w:ascii="Arial" w:eastAsia="Arial" w:hAnsi="Arial" w:cs="Arial"/>
          <w:color w:val="000000"/>
          <w:sz w:val="18"/>
        </w:rPr>
        <w:t>Sch</w:t>
      </w:r>
      <w:r>
        <w:rPr>
          <w:rFonts w:ascii="Arial" w:eastAsia="Arial" w:hAnsi="Arial" w:cs="Arial"/>
          <w:color w:val="000000"/>
          <w:sz w:val="18"/>
        </w:rPr>
        <w:t>mults</w:t>
      </w:r>
      <w:proofErr w:type="spellEnd"/>
      <w:r>
        <w:rPr>
          <w:rFonts w:ascii="Arial" w:eastAsia="Arial" w:hAnsi="Arial" w:cs="Arial"/>
          <w:color w:val="000000"/>
          <w:sz w:val="18"/>
        </w:rPr>
        <w:t xml:space="preserve">, Deputy Attorney General, from Theodore B. Olson, Assistant Attorney General, Office of Legal Counsel at 2 (Jul. 29, 1982) (discussing subpoena  for testimony of the Counsel to the President). </w:t>
      </w:r>
      <w:r>
        <w:rPr>
          <w:rFonts w:ascii="Arial" w:eastAsia="Arial" w:hAnsi="Arial" w:cs="Arial"/>
          <w:i/>
          <w:color w:val="000000"/>
          <w:sz w:val="18"/>
        </w:rPr>
        <w:t>See also</w:t>
      </w:r>
      <w:r>
        <w:rPr>
          <w:rFonts w:ascii="Arial" w:eastAsia="Arial" w:hAnsi="Arial" w:cs="Arial"/>
          <w:color w:val="000000"/>
          <w:sz w:val="18"/>
        </w:rPr>
        <w:t xml:space="preserve"> Memorandum for the Honorable John W. Dean, III, </w:t>
      </w:r>
      <w:r>
        <w:rPr>
          <w:rFonts w:ascii="Arial" w:eastAsia="Arial" w:hAnsi="Arial" w:cs="Arial"/>
          <w:color w:val="000000"/>
          <w:sz w:val="18"/>
        </w:rPr>
        <w:t xml:space="preserve">Counsel to the President, from Roger C. Cramton, Assistant Attorney General, Office of Legal Counsel, </w:t>
      </w:r>
      <w:r>
        <w:rPr>
          <w:rFonts w:ascii="Arial" w:eastAsia="Arial" w:hAnsi="Arial" w:cs="Arial"/>
          <w:i/>
          <w:color w:val="000000"/>
          <w:sz w:val="18"/>
        </w:rPr>
        <w:t>Re: Availability of Executive Privilege Where Congressional Committee Seeks Testimony of Former White House Official on Advice Given President on Official</w:t>
      </w:r>
      <w:r>
        <w:rPr>
          <w:rFonts w:ascii="Arial" w:eastAsia="Arial" w:hAnsi="Arial" w:cs="Arial"/>
          <w:i/>
          <w:color w:val="000000"/>
          <w:sz w:val="18"/>
        </w:rPr>
        <w:t xml:space="preserve"> Matters</w:t>
      </w:r>
      <w:r>
        <w:rPr>
          <w:rFonts w:ascii="Arial" w:eastAsia="Arial" w:hAnsi="Arial" w:cs="Arial"/>
          <w:color w:val="000000"/>
          <w:sz w:val="18"/>
        </w:rPr>
        <w:t xml:space="preserve"> at 6 (Dec. 21, 1972) (since "[a]n immediate assistant to the President may be said to serve as his alter ego . . . the same considerations that were persuasive to former President Truman [when he declined to comply with a congressional subpoena  f</w:t>
      </w:r>
      <w:r>
        <w:rPr>
          <w:rFonts w:ascii="Arial" w:eastAsia="Arial" w:hAnsi="Arial" w:cs="Arial"/>
          <w:color w:val="000000"/>
          <w:sz w:val="18"/>
        </w:rPr>
        <w:t xml:space="preserve">or his testimony] would apply to justify a refusal to appear by . . . a former staff member"); Utter for Senator Orrin G. Hatch, Chairman, United States Senate, Committee on Labor and Human Resources and Senator Edward M. Kennedy, Ranking Minority Member, </w:t>
      </w:r>
      <w:r>
        <w:rPr>
          <w:rFonts w:ascii="Arial" w:eastAsia="Arial" w:hAnsi="Arial" w:cs="Arial"/>
          <w:color w:val="000000"/>
          <w:sz w:val="18"/>
        </w:rPr>
        <w:t xml:space="preserve">United States Senate, Committee on Labor and Human Resources, from Edward C. </w:t>
      </w:r>
      <w:proofErr w:type="spellStart"/>
      <w:r>
        <w:rPr>
          <w:rFonts w:ascii="Arial" w:eastAsia="Arial" w:hAnsi="Arial" w:cs="Arial"/>
          <w:color w:val="000000"/>
          <w:sz w:val="18"/>
        </w:rPr>
        <w:t>Schmults</w:t>
      </w:r>
      <w:proofErr w:type="spellEnd"/>
      <w:r>
        <w:rPr>
          <w:rFonts w:ascii="Arial" w:eastAsia="Arial" w:hAnsi="Arial" w:cs="Arial"/>
          <w:color w:val="000000"/>
          <w:sz w:val="18"/>
        </w:rPr>
        <w:t>, Deputy Attorney General at 2 (Apr. 19, 1983) ("[O]</w:t>
      </w:r>
      <w:proofErr w:type="spellStart"/>
      <w:r>
        <w:rPr>
          <w:rFonts w:ascii="Arial" w:eastAsia="Arial" w:hAnsi="Arial" w:cs="Arial"/>
          <w:color w:val="000000"/>
          <w:sz w:val="18"/>
        </w:rPr>
        <w:t>ur</w:t>
      </w:r>
      <w:proofErr w:type="spellEnd"/>
      <w:r>
        <w:rPr>
          <w:rFonts w:ascii="Arial" w:eastAsia="Arial" w:hAnsi="Arial" w:cs="Arial"/>
          <w:color w:val="000000"/>
          <w:sz w:val="18"/>
        </w:rPr>
        <w:t xml:space="preserve"> concern regarding your desire for the sworn testimony  of [the Counsel to the President] is based upon important pri</w:t>
      </w:r>
      <w:r>
        <w:rPr>
          <w:rFonts w:ascii="Arial" w:eastAsia="Arial" w:hAnsi="Arial" w:cs="Arial"/>
          <w:color w:val="000000"/>
          <w:sz w:val="18"/>
        </w:rPr>
        <w:t>nciples relative to the powers, duties and prerogatives of the Presidency We share with previous Presidents and their advisers  serious reservations regarding the implications for established constitutional doctrines arising from the separation of powers o</w:t>
      </w:r>
      <w:r>
        <w:rPr>
          <w:rFonts w:ascii="Arial" w:eastAsia="Arial" w:hAnsi="Arial" w:cs="Arial"/>
          <w:color w:val="000000"/>
          <w:sz w:val="18"/>
        </w:rPr>
        <w:t>f a Congressional demand for the sworn testimony  of close presidential   advisers  on the White House staff.").</w:t>
      </w:r>
    </w:p>
  </w:footnote>
  <w:footnote w:id="3">
    <w:p w14:paraId="59FA92C8" w14:textId="77777777" w:rsidR="001D1412" w:rsidRDefault="00EF3A54">
      <w:pPr>
        <w:spacing w:before="200" w:line="240" w:lineRule="atLeast"/>
        <w:jc w:val="both"/>
      </w:pPr>
      <w:r>
        <w:rPr>
          <w:rFonts w:ascii="Arial" w:eastAsia="Arial" w:hAnsi="Arial" w:cs="Arial"/>
          <w:color w:val="000000"/>
          <w:sz w:val="18"/>
          <w:vertAlign w:val="superscript"/>
        </w:rPr>
        <w:t>3 </w:t>
      </w:r>
      <w:r>
        <w:rPr>
          <w:rFonts w:ascii="Arial" w:eastAsia="Arial" w:hAnsi="Arial" w:cs="Arial"/>
          <w:color w:val="000000"/>
          <w:sz w:val="18"/>
        </w:rPr>
        <w:t xml:space="preserve"> Memorandum for Margaret McKenna, Deputy Counsel to the President, from John M. Harmon, Assistant Attorney General, Office of Legal Counsel, </w:t>
      </w:r>
      <w:r>
        <w:rPr>
          <w:rFonts w:ascii="Arial" w:eastAsia="Arial" w:hAnsi="Arial" w:cs="Arial"/>
          <w:i/>
          <w:color w:val="000000"/>
          <w:sz w:val="18"/>
        </w:rPr>
        <w:t xml:space="preserve">Re: Dual-purpose Presidential Advisers, </w:t>
      </w:r>
      <w:r>
        <w:rPr>
          <w:rFonts w:ascii="Arial" w:eastAsia="Arial" w:hAnsi="Arial" w:cs="Arial"/>
          <w:color w:val="000000"/>
          <w:sz w:val="18"/>
        </w:rPr>
        <w:t xml:space="preserve"> Appendix at 7 (Aug. 11, 1977).</w:t>
      </w:r>
    </w:p>
  </w:footnote>
  <w:footnote w:id="4">
    <w:p w14:paraId="7CDDF020" w14:textId="77777777" w:rsidR="001D1412" w:rsidRDefault="00EF3A54">
      <w:pPr>
        <w:spacing w:before="200" w:line="240" w:lineRule="atLeast"/>
        <w:jc w:val="both"/>
      </w:pPr>
      <w:r>
        <w:rPr>
          <w:rFonts w:ascii="Arial" w:eastAsia="Arial" w:hAnsi="Arial" w:cs="Arial"/>
          <w:color w:val="000000"/>
          <w:sz w:val="18"/>
          <w:vertAlign w:val="superscript"/>
        </w:rPr>
        <w:t>4 </w:t>
      </w:r>
      <w:r>
        <w:rPr>
          <w:rFonts w:ascii="Arial" w:eastAsia="Arial" w:hAnsi="Arial" w:cs="Arial"/>
          <w:color w:val="000000"/>
          <w:sz w:val="18"/>
        </w:rPr>
        <w:t xml:space="preserve"> Memorandum for the Honorable John D. Ehrlichman, Assistant to the President for Domestic Affairs, from William H. Rehnquist, Assistant Attorney General, Office of Legal Counsel, </w:t>
      </w:r>
      <w:r>
        <w:rPr>
          <w:rFonts w:ascii="Arial" w:eastAsia="Arial" w:hAnsi="Arial" w:cs="Arial"/>
          <w:i/>
          <w:color w:val="000000"/>
          <w:sz w:val="18"/>
        </w:rPr>
        <w:t>Re:</w:t>
      </w:r>
      <w:r>
        <w:rPr>
          <w:rFonts w:ascii="Arial" w:eastAsia="Arial" w:hAnsi="Arial" w:cs="Arial"/>
          <w:i/>
          <w:color w:val="000000"/>
          <w:sz w:val="18"/>
        </w:rPr>
        <w:t xml:space="preserve"> Power of Congressional Committee to Compel Appearance or Testimony of ' White House Staff'</w:t>
      </w:r>
      <w:r>
        <w:rPr>
          <w:rFonts w:ascii="Arial" w:eastAsia="Arial" w:hAnsi="Arial" w:cs="Arial"/>
          <w:color w:val="000000"/>
          <w:sz w:val="18"/>
        </w:rPr>
        <w:t xml:space="preserve"> at 7 (Feb. 5, 1971).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C6289" w14:textId="77777777" w:rsidR="001D1412" w:rsidRDefault="001D14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nil"/>
        <w:left w:val="nil"/>
        <w:bottom w:val="nil"/>
        <w:right w:val="nil"/>
        <w:insideH w:val="nil"/>
        <w:insideV w:val="nil"/>
      </w:tblBorders>
      <w:tblLayout w:type="fixed"/>
      <w:tblLook w:val="04A0" w:firstRow="1" w:lastRow="0" w:firstColumn="1" w:lastColumn="0" w:noHBand="0" w:noVBand="1"/>
    </w:tblPr>
    <w:tblGrid>
      <w:gridCol w:w="10080"/>
    </w:tblGrid>
    <w:tr w:rsidR="001D1412" w14:paraId="456E8FAF" w14:textId="77777777">
      <w:trPr>
        <w:jc w:val="center"/>
      </w:trPr>
      <w:tc>
        <w:tcPr>
          <w:tcW w:w="10080" w:type="dxa"/>
          <w:vAlign w:val="center"/>
        </w:tcPr>
        <w:p w14:paraId="42CCCA02" w14:textId="77B96EAC" w:rsidR="001D1412" w:rsidRDefault="00EF3A54">
          <w:pPr>
            <w:jc w:val="right"/>
          </w:pPr>
          <w:r>
            <w:rPr>
              <w:rFonts w:ascii="Arial" w:eastAsia="Arial" w:hAnsi="Arial" w:cs="Arial"/>
              <w:sz w:val="20"/>
            </w:rPr>
            <w:t xml:space="preserve">Page </w:t>
          </w:r>
          <w:r>
            <w:rPr>
              <w:rFonts w:ascii="Arial" w:eastAsia="Arial" w:hAnsi="Arial" w:cs="Arial"/>
              <w:sz w:val="20"/>
            </w:rPr>
            <w:fldChar w:fldCharType="begin"/>
          </w:r>
          <w:r>
            <w:rPr>
              <w:rFonts w:ascii="Arial" w:eastAsia="Arial" w:hAnsi="Arial" w:cs="Arial"/>
              <w:sz w:val="20"/>
            </w:rPr>
            <w:instrText xml:space="preserve"> PAGE </w:instrText>
          </w:r>
          <w:r w:rsidR="009F3E91">
            <w:rPr>
              <w:rFonts w:ascii="Arial" w:eastAsia="Arial" w:hAnsi="Arial" w:cs="Arial"/>
              <w:sz w:val="20"/>
            </w:rPr>
            <w:fldChar w:fldCharType="separate"/>
          </w:r>
          <w:r w:rsidR="009F3E91">
            <w:rPr>
              <w:rFonts w:ascii="Arial" w:eastAsia="Arial" w:hAnsi="Arial" w:cs="Arial"/>
              <w:noProof/>
              <w:sz w:val="20"/>
            </w:rPr>
            <w:t>3</w:t>
          </w:r>
          <w:r>
            <w:rPr>
              <w:rFonts w:ascii="Arial" w:eastAsia="Arial" w:hAnsi="Arial" w:cs="Arial"/>
              <w:sz w:val="20"/>
            </w:rPr>
            <w:fldChar w:fldCharType="end"/>
          </w:r>
          <w:r>
            <w:rPr>
              <w:rFonts w:ascii="Arial" w:eastAsia="Arial" w:hAnsi="Arial" w:cs="Arial"/>
              <w:sz w:val="20"/>
            </w:rPr>
            <w:t xml:space="preserve"> of </w:t>
          </w:r>
          <w:r>
            <w:rPr>
              <w:rFonts w:ascii="Arial" w:eastAsia="Arial" w:hAnsi="Arial" w:cs="Arial"/>
              <w:sz w:val="20"/>
            </w:rPr>
            <w:fldChar w:fldCharType="begin"/>
          </w:r>
          <w:r>
            <w:rPr>
              <w:rFonts w:ascii="Arial" w:eastAsia="Arial" w:hAnsi="Arial" w:cs="Arial"/>
              <w:sz w:val="20"/>
            </w:rPr>
            <w:instrText xml:space="preserve"> NUMPAGES </w:instrText>
          </w:r>
          <w:r w:rsidR="009F3E91">
            <w:rPr>
              <w:rFonts w:ascii="Arial" w:eastAsia="Arial" w:hAnsi="Arial" w:cs="Arial"/>
              <w:sz w:val="20"/>
            </w:rPr>
            <w:fldChar w:fldCharType="separate"/>
          </w:r>
          <w:r w:rsidR="009F3E91">
            <w:rPr>
              <w:rFonts w:ascii="Arial" w:eastAsia="Arial" w:hAnsi="Arial" w:cs="Arial"/>
              <w:noProof/>
              <w:sz w:val="20"/>
            </w:rPr>
            <w:t>3</w:t>
          </w:r>
          <w:r>
            <w:rPr>
              <w:rFonts w:ascii="Arial" w:eastAsia="Arial" w:hAnsi="Arial" w:cs="Arial"/>
              <w:sz w:val="20"/>
            </w:rPr>
            <w:fldChar w:fldCharType="end"/>
          </w:r>
        </w:p>
      </w:tc>
    </w:tr>
    <w:tr w:rsidR="001D1412" w14:paraId="19C11F56" w14:textId="77777777">
      <w:trPr>
        <w:jc w:val="center"/>
      </w:trPr>
      <w:tc>
        <w:tcPr>
          <w:tcW w:w="10080" w:type="dxa"/>
        </w:tcPr>
        <w:p w14:paraId="3D8B0810" w14:textId="77777777" w:rsidR="001D1412" w:rsidRDefault="00EF3A54">
          <w:pPr>
            <w:spacing w:before="60" w:after="200"/>
            <w:jc w:val="center"/>
          </w:pPr>
          <w:r>
            <w:rPr>
              <w:rFonts w:ascii="Arial" w:eastAsia="Arial" w:hAnsi="Arial" w:cs="Arial"/>
              <w:sz w:val="20"/>
            </w:rPr>
            <w:t>1996 OLC LEXIS 64</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B4065" w14:textId="77777777" w:rsidR="001D1412" w:rsidRDefault="001D141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1D1412"/>
    <w:rsid w:val="009F3E91"/>
    <w:rsid w:val="00A77B3E"/>
    <w:rsid w:val="00CA2A55"/>
    <w:rsid w:val="00EF3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CD735"/>
  <w15:docId w15:val="{0BC14872-65C8-409D-8252-CFC99E92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advance.lexis.com/api/document?collection=administrative-materials&amp;id=urn:contentItem:43YH-V6X0-0036-K04B-00000-00&amp;contex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1996 OLC LEXIS 64</dc:title>
  <cp:lastModifiedBy>Andrew Torrez</cp:lastModifiedBy>
  <cp:revision>2</cp:revision>
  <dcterms:created xsi:type="dcterms:W3CDTF">2019-06-25T02:45:00Z</dcterms:created>
  <dcterms:modified xsi:type="dcterms:W3CDTF">2019-06-25T02:45:00Z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91352311</vt:lpwstr>
  </property>
  <property fmtid="{D5CDD505-2E9C-101B-9397-08002B2CF9AE}" pid="3" name="LADocCount">
    <vt:i4>2</vt:i4>
  </property>
  <property fmtid="{D5CDD505-2E9C-101B-9397-08002B2CF9AE}" pid="4" name="UserPermID">
    <vt:lpwstr>urn:user:PA6804050</vt:lpwstr>
  </property>
</Properties>
</file>